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4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行政强制执行（加处罚款）决定书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（与受送达人的关系：        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5320" w:firstLineChars="19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9A570A0"/>
    <w:rsid w:val="1D8B6A06"/>
    <w:rsid w:val="1EA60457"/>
    <w:rsid w:val="204A0B08"/>
    <w:rsid w:val="22DF6543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5DF66A37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8CF7AB8988C449ABB7CDE1D537379A4B_13</vt:lpwstr>
  </property>
</Properties>
</file>